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867" w:rsidRPr="000E371B" w:rsidRDefault="00463867" w:rsidP="00463867">
      <w:pPr>
        <w:rPr>
          <w:rFonts w:asciiTheme="majorHAnsi" w:hAnsiTheme="majorHAnsi"/>
        </w:rPr>
      </w:pPr>
      <w:r w:rsidRPr="000E371B">
        <w:rPr>
          <w:rFonts w:asciiTheme="majorHAnsi" w:hAnsiTheme="majorHAnsi"/>
        </w:rPr>
        <w:t xml:space="preserve">Nom prénom </w:t>
      </w:r>
      <w:r w:rsidRPr="00650987">
        <w:rPr>
          <w:rFonts w:asciiTheme="majorHAnsi" w:hAnsiTheme="majorHAnsi"/>
          <w:highlight w:val="yellow"/>
        </w:rPr>
        <w:t>A COMPLETER</w:t>
      </w:r>
    </w:p>
    <w:p w:rsidR="00463867" w:rsidRDefault="00463867" w:rsidP="00463867">
      <w:pPr>
        <w:rPr>
          <w:rFonts w:asciiTheme="majorHAnsi" w:hAnsiTheme="majorHAnsi"/>
        </w:rPr>
      </w:pPr>
      <w:r w:rsidRPr="000E371B">
        <w:rPr>
          <w:rFonts w:asciiTheme="majorHAnsi" w:hAnsiTheme="majorHAnsi"/>
        </w:rPr>
        <w:t>Adresse</w:t>
      </w:r>
      <w:r>
        <w:rPr>
          <w:rFonts w:asciiTheme="majorHAnsi" w:hAnsiTheme="majorHAnsi"/>
        </w:rPr>
        <w:t xml:space="preserve"> </w:t>
      </w:r>
      <w:r w:rsidRPr="00650987">
        <w:rPr>
          <w:rFonts w:asciiTheme="majorHAnsi" w:hAnsiTheme="majorHAnsi"/>
          <w:highlight w:val="yellow"/>
        </w:rPr>
        <w:t>A COMPLETER</w:t>
      </w:r>
    </w:p>
    <w:p w:rsidR="00463867" w:rsidRDefault="00463867" w:rsidP="00463867">
      <w:pPr>
        <w:rPr>
          <w:rFonts w:asciiTheme="majorHAnsi" w:hAnsiTheme="majorHAnsi"/>
        </w:rPr>
      </w:pPr>
    </w:p>
    <w:p w:rsidR="00463867" w:rsidRDefault="00463867" w:rsidP="00463867">
      <w:pPr>
        <w:rPr>
          <w:rFonts w:asciiTheme="majorHAnsi" w:hAnsiTheme="majorHAnsi"/>
        </w:rPr>
      </w:pPr>
    </w:p>
    <w:p w:rsidR="00463867" w:rsidRDefault="00463867" w:rsidP="0046386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Commission des recours des militaires </w:t>
      </w:r>
    </w:p>
    <w:p w:rsidR="00463867" w:rsidRDefault="00463867" w:rsidP="0046386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14 rue Saint Dominique</w:t>
      </w:r>
    </w:p>
    <w:p w:rsidR="00463867" w:rsidRDefault="00463867" w:rsidP="0046386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75700 Paris SP 07</w:t>
      </w:r>
    </w:p>
    <w:p w:rsidR="00463867" w:rsidRDefault="00463867" w:rsidP="00463867">
      <w:pPr>
        <w:rPr>
          <w:rFonts w:asciiTheme="majorHAnsi" w:hAnsiTheme="majorHAnsi"/>
        </w:rPr>
      </w:pPr>
    </w:p>
    <w:p w:rsidR="00463867" w:rsidRPr="000E371B" w:rsidRDefault="00463867" w:rsidP="00463867">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Lieu, date </w:t>
      </w:r>
      <w:r w:rsidRPr="00650987">
        <w:rPr>
          <w:rFonts w:asciiTheme="majorHAnsi" w:hAnsiTheme="majorHAnsi"/>
          <w:highlight w:val="yellow"/>
        </w:rPr>
        <w:t>A COMPLETER</w:t>
      </w:r>
    </w:p>
    <w:tbl>
      <w:tblPr>
        <w:tblW w:w="5000" w:type="pct"/>
        <w:tblCellSpacing w:w="0" w:type="dxa"/>
        <w:tblLayout w:type="fixed"/>
        <w:tblCellMar>
          <w:left w:w="0" w:type="dxa"/>
          <w:right w:w="0" w:type="dxa"/>
        </w:tblCellMar>
        <w:tblLook w:val="04A0" w:firstRow="1" w:lastRow="0" w:firstColumn="1" w:lastColumn="0" w:noHBand="0" w:noVBand="1"/>
      </w:tblPr>
      <w:tblGrid>
        <w:gridCol w:w="301"/>
        <w:gridCol w:w="20"/>
        <w:gridCol w:w="8751"/>
      </w:tblGrid>
      <w:tr w:rsidR="00463867" w:rsidRPr="00643F2D" w:rsidTr="002137F4">
        <w:trPr>
          <w:tblCellSpacing w:w="0" w:type="dxa"/>
        </w:trPr>
        <w:tc>
          <w:tcPr>
            <w:tcW w:w="301" w:type="dxa"/>
            <w:vAlign w:val="center"/>
            <w:hideMark/>
          </w:tcPr>
          <w:p w:rsidR="00463867" w:rsidRPr="00643F2D" w:rsidRDefault="00463867" w:rsidP="002137F4">
            <w:pPr>
              <w:rPr>
                <w:rFonts w:asciiTheme="majorHAnsi" w:hAnsiTheme="majorHAnsi"/>
              </w:rPr>
            </w:pPr>
            <w:r w:rsidRPr="00643F2D">
              <w:rPr>
                <w:rFonts w:asciiTheme="majorHAnsi" w:hAnsiTheme="majorHAnsi"/>
                <w:noProof/>
              </w:rPr>
              <w:drawing>
                <wp:inline distT="0" distB="0" distL="0" distR="0" wp14:anchorId="09840E96" wp14:editId="2A303356">
                  <wp:extent cx="190500" cy="12700"/>
                  <wp:effectExtent l="0" t="0" r="0" b="0"/>
                  <wp:docPr id="1" name="Image 1" descr="/http://abonnes.efl.fr/EFLPORTAL/data/img/pixel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onnes.efl.fr/EFLPORTAL/data/img/pixelblanc.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20" w:type="dxa"/>
            <w:vAlign w:val="center"/>
            <w:hideMark/>
          </w:tcPr>
          <w:p w:rsidR="00463867" w:rsidRPr="00643F2D" w:rsidRDefault="00463867" w:rsidP="002137F4">
            <w:pPr>
              <w:rPr>
                <w:rFonts w:asciiTheme="majorHAnsi" w:hAnsiTheme="majorHAnsi"/>
              </w:rPr>
            </w:pPr>
            <w:r w:rsidRPr="00643F2D">
              <w:rPr>
                <w:rFonts w:asciiTheme="majorHAnsi" w:hAnsiTheme="majorHAnsi"/>
                <w:noProof/>
              </w:rPr>
              <w:drawing>
                <wp:inline distT="0" distB="0" distL="0" distR="0" wp14:anchorId="162E2F7B" wp14:editId="04E02EDF">
                  <wp:extent cx="1016000" cy="12700"/>
                  <wp:effectExtent l="0" t="0" r="0" b="0"/>
                  <wp:docPr id="2" name="Image 2" descr="/http://abonnes.efl.fr/EFLPORTAL/data/img/pixel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onnes.efl.fr/EFLPORTAL/data/img/pixelblanc.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016000" cy="12700"/>
                          </a:xfrm>
                          <a:prstGeom prst="rect">
                            <a:avLst/>
                          </a:prstGeom>
                          <a:noFill/>
                          <a:ln>
                            <a:noFill/>
                          </a:ln>
                        </pic:spPr>
                      </pic:pic>
                    </a:graphicData>
                  </a:graphic>
                </wp:inline>
              </w:drawing>
            </w:r>
          </w:p>
        </w:tc>
        <w:tc>
          <w:tcPr>
            <w:tcW w:w="8745" w:type="dxa"/>
            <w:vAlign w:val="center"/>
            <w:hideMark/>
          </w:tcPr>
          <w:p w:rsidR="00463867" w:rsidRPr="00643F2D" w:rsidRDefault="00463867" w:rsidP="002137F4">
            <w:pPr>
              <w:rPr>
                <w:rFonts w:asciiTheme="majorHAnsi" w:hAnsiTheme="majorHAnsi"/>
              </w:rPr>
            </w:pPr>
            <w:r w:rsidRPr="00643F2D">
              <w:rPr>
                <w:rFonts w:asciiTheme="majorHAnsi" w:hAnsiTheme="majorHAnsi"/>
              </w:rPr>
              <w:t> </w:t>
            </w:r>
          </w:p>
        </w:tc>
      </w:tr>
    </w:tbl>
    <w:p w:rsidR="00463867" w:rsidRPr="00643F2D" w:rsidRDefault="00463867" w:rsidP="00463867">
      <w:pPr>
        <w:jc w:val="right"/>
        <w:rPr>
          <w:rFonts w:asciiTheme="majorHAnsi" w:hAnsiTheme="majorHAnsi"/>
        </w:rPr>
      </w:pPr>
    </w:p>
    <w:p w:rsidR="00463867" w:rsidRPr="00643F2D" w:rsidRDefault="00463867" w:rsidP="00463867">
      <w:pPr>
        <w:rPr>
          <w:rFonts w:asciiTheme="majorHAnsi" w:hAnsiTheme="majorHAnsi"/>
        </w:rPr>
      </w:pPr>
    </w:p>
    <w:p w:rsidR="00463867" w:rsidRPr="00643F2D" w:rsidRDefault="00463867" w:rsidP="00463867">
      <w:pPr>
        <w:rPr>
          <w:rFonts w:asciiTheme="majorHAnsi" w:hAnsiTheme="majorHAnsi"/>
          <w:vanish/>
        </w:rPr>
      </w:pPr>
    </w:p>
    <w:p w:rsidR="00463867" w:rsidRPr="00643F2D" w:rsidRDefault="00463867" w:rsidP="00463867">
      <w:pPr>
        <w:rPr>
          <w:rFonts w:asciiTheme="majorHAnsi" w:hAnsiTheme="majorHAnsi"/>
        </w:rPr>
      </w:pPr>
    </w:p>
    <w:tbl>
      <w:tblPr>
        <w:tblW w:w="5000" w:type="pct"/>
        <w:tblCellSpacing w:w="0" w:type="dxa"/>
        <w:tblCellMar>
          <w:left w:w="0" w:type="dxa"/>
          <w:right w:w="0" w:type="dxa"/>
        </w:tblCellMar>
        <w:tblLook w:val="04A0" w:firstRow="1" w:lastRow="0" w:firstColumn="1" w:lastColumn="0" w:noHBand="0" w:noVBand="1"/>
      </w:tblPr>
      <w:tblGrid>
        <w:gridCol w:w="9072"/>
      </w:tblGrid>
      <w:tr w:rsidR="00463867" w:rsidRPr="00643F2D" w:rsidTr="002137F4">
        <w:trPr>
          <w:tblCellSpacing w:w="0" w:type="dxa"/>
        </w:trPr>
        <w:tc>
          <w:tcPr>
            <w:tcW w:w="0" w:type="auto"/>
            <w:vAlign w:val="center"/>
            <w:hideMark/>
          </w:tcPr>
          <w:p w:rsidR="00463867" w:rsidRPr="00643F2D" w:rsidRDefault="00463867" w:rsidP="002137F4">
            <w:pPr>
              <w:rPr>
                <w:rFonts w:asciiTheme="majorHAnsi" w:hAnsiTheme="majorHAnsi"/>
              </w:rPr>
            </w:pPr>
            <w:r>
              <w:rPr>
                <w:rFonts w:asciiTheme="majorHAnsi" w:hAnsiTheme="majorHAnsi"/>
              </w:rPr>
              <w:t xml:space="preserve">Par </w:t>
            </w:r>
            <w:r w:rsidRPr="00643F2D">
              <w:rPr>
                <w:rFonts w:asciiTheme="majorHAnsi" w:hAnsiTheme="majorHAnsi"/>
              </w:rPr>
              <w:t>Lettre recommandée avec demande d'avis de réception</w:t>
            </w:r>
            <w:r>
              <w:rPr>
                <w:rFonts w:asciiTheme="majorHAnsi" w:hAnsiTheme="majorHAnsi"/>
              </w:rPr>
              <w:t xml:space="preserve"> (</w:t>
            </w:r>
            <w:r w:rsidRPr="00650987">
              <w:rPr>
                <w:rFonts w:asciiTheme="majorHAnsi" w:hAnsiTheme="majorHAnsi"/>
                <w:highlight w:val="yellow"/>
              </w:rPr>
              <w:t>préciser le numéro</w:t>
            </w:r>
            <w:r>
              <w:rPr>
                <w:rFonts w:asciiTheme="majorHAnsi" w:hAnsiTheme="majorHAnsi"/>
              </w:rPr>
              <w:t>)</w:t>
            </w:r>
          </w:p>
        </w:tc>
      </w:tr>
    </w:tbl>
    <w:p w:rsidR="00463867" w:rsidRPr="00643F2D" w:rsidRDefault="00463867" w:rsidP="00463867">
      <w:pPr>
        <w:rPr>
          <w:rFonts w:asciiTheme="majorHAnsi" w:hAnsiTheme="majorHAnsi"/>
        </w:rPr>
      </w:pPr>
    </w:p>
    <w:p w:rsidR="00463867" w:rsidRDefault="00463867" w:rsidP="00463867">
      <w:pPr>
        <w:rPr>
          <w:rFonts w:asciiTheme="majorHAnsi" w:hAnsiTheme="majorHAnsi"/>
        </w:rPr>
      </w:pPr>
    </w:p>
    <w:p w:rsidR="00463867" w:rsidRPr="00643F2D" w:rsidRDefault="00463867" w:rsidP="00463867">
      <w:pPr>
        <w:rPr>
          <w:rFonts w:asciiTheme="majorHAnsi" w:hAnsiTheme="majorHAnsi"/>
        </w:rPr>
      </w:pPr>
      <w:r>
        <w:rPr>
          <w:rFonts w:asciiTheme="majorHAnsi" w:hAnsiTheme="majorHAnsi"/>
        </w:rPr>
        <w:t xml:space="preserve">Madame la Ministre des armées </w:t>
      </w:r>
      <w:r w:rsidRPr="0078126C">
        <w:rPr>
          <w:rFonts w:asciiTheme="majorHAnsi" w:hAnsiTheme="majorHAnsi"/>
          <w:highlight w:val="yellow"/>
        </w:rPr>
        <w:t>OU</w:t>
      </w:r>
      <w:r>
        <w:rPr>
          <w:rFonts w:asciiTheme="majorHAnsi" w:hAnsiTheme="majorHAnsi"/>
        </w:rPr>
        <w:t xml:space="preserve"> Monsieur le ministre de l’Intérieur </w:t>
      </w:r>
      <w:r w:rsidRPr="0078126C">
        <w:rPr>
          <w:rFonts w:asciiTheme="majorHAnsi" w:hAnsiTheme="majorHAnsi"/>
          <w:highlight w:val="yellow"/>
        </w:rPr>
        <w:t>OU</w:t>
      </w:r>
      <w:r>
        <w:rPr>
          <w:rFonts w:asciiTheme="majorHAnsi" w:hAnsiTheme="majorHAnsi"/>
        </w:rPr>
        <w:t xml:space="preserve"> </w:t>
      </w:r>
      <w:r w:rsidRPr="00650987">
        <w:rPr>
          <w:rFonts w:asciiTheme="majorHAnsi" w:hAnsiTheme="majorHAnsi"/>
          <w:highlight w:val="yellow"/>
        </w:rPr>
        <w:t>ADAPTER</w:t>
      </w:r>
      <w:r>
        <w:rPr>
          <w:rFonts w:asciiTheme="majorHAnsi" w:hAnsiTheme="majorHAnsi"/>
        </w:rPr>
        <w:t>,</w:t>
      </w:r>
    </w:p>
    <w:tbl>
      <w:tblPr>
        <w:tblW w:w="5000" w:type="pct"/>
        <w:tblCellSpacing w:w="50" w:type="dxa"/>
        <w:tblCellMar>
          <w:left w:w="0" w:type="dxa"/>
          <w:right w:w="0" w:type="dxa"/>
        </w:tblCellMar>
        <w:tblLook w:val="04A0" w:firstRow="1" w:lastRow="0" w:firstColumn="1" w:lastColumn="0" w:noHBand="0" w:noVBand="1"/>
      </w:tblPr>
      <w:tblGrid>
        <w:gridCol w:w="9072"/>
      </w:tblGrid>
      <w:tr w:rsidR="00463867" w:rsidRPr="00643F2D" w:rsidTr="002137F4">
        <w:trPr>
          <w:tblCellSpacing w:w="50" w:type="dxa"/>
        </w:trPr>
        <w:tc>
          <w:tcPr>
            <w:tcW w:w="0" w:type="auto"/>
            <w:hideMark/>
          </w:tcPr>
          <w:p w:rsidR="00463867" w:rsidRPr="00643F2D" w:rsidRDefault="00463867" w:rsidP="002137F4">
            <w:pPr>
              <w:rPr>
                <w:rFonts w:asciiTheme="majorHAnsi" w:hAnsiTheme="majorHAnsi"/>
              </w:rPr>
            </w:pPr>
          </w:p>
        </w:tc>
      </w:tr>
      <w:tr w:rsidR="00463867" w:rsidRPr="00643F2D" w:rsidTr="002137F4">
        <w:trPr>
          <w:tblCellSpacing w:w="50" w:type="dxa"/>
        </w:trPr>
        <w:tc>
          <w:tcPr>
            <w:tcW w:w="0" w:type="auto"/>
            <w:vAlign w:val="center"/>
            <w:hideMark/>
          </w:tcPr>
          <w:p w:rsidR="00463867" w:rsidRDefault="00463867" w:rsidP="002137F4">
            <w:pPr>
              <w:jc w:val="both"/>
              <w:rPr>
                <w:rFonts w:asciiTheme="majorHAnsi" w:hAnsiTheme="majorHAnsi"/>
              </w:rPr>
            </w:pPr>
          </w:p>
          <w:p w:rsidR="00463867" w:rsidRDefault="00463867" w:rsidP="002137F4">
            <w:pPr>
              <w:jc w:val="both"/>
              <w:rPr>
                <w:rFonts w:asciiTheme="majorHAnsi" w:hAnsiTheme="majorHAnsi"/>
              </w:rPr>
            </w:pPr>
            <w:r w:rsidRPr="00643F2D">
              <w:rPr>
                <w:rFonts w:asciiTheme="majorHAnsi" w:hAnsiTheme="majorHAnsi"/>
              </w:rPr>
              <w:t xml:space="preserve">Par </w:t>
            </w:r>
            <w:r>
              <w:rPr>
                <w:rFonts w:asciiTheme="majorHAnsi" w:hAnsiTheme="majorHAnsi"/>
              </w:rPr>
              <w:t xml:space="preserve">recours formé </w:t>
            </w:r>
            <w:r w:rsidRPr="00643F2D">
              <w:rPr>
                <w:rFonts w:asciiTheme="majorHAnsi" w:hAnsiTheme="majorHAnsi"/>
              </w:rPr>
              <w:t xml:space="preserve">en date du </w:t>
            </w:r>
            <w:r w:rsidRPr="00650987">
              <w:rPr>
                <w:rFonts w:asciiTheme="majorHAnsi" w:hAnsiTheme="majorHAnsi"/>
                <w:i/>
                <w:iCs/>
                <w:highlight w:val="yellow"/>
              </w:rPr>
              <w:t>(</w:t>
            </w:r>
            <w:r w:rsidRPr="00650987">
              <w:rPr>
                <w:rFonts w:asciiTheme="majorHAnsi" w:hAnsiTheme="majorHAnsi"/>
                <w:b/>
                <w:i/>
                <w:iCs/>
                <w:highlight w:val="yellow"/>
              </w:rPr>
              <w:t>Précisez la</w:t>
            </w:r>
            <w:r w:rsidRPr="00650987">
              <w:rPr>
                <w:rFonts w:asciiTheme="majorHAnsi" w:hAnsiTheme="majorHAnsi"/>
                <w:i/>
                <w:iCs/>
                <w:highlight w:val="yellow"/>
              </w:rPr>
              <w:t xml:space="preserve"> </w:t>
            </w:r>
            <w:r w:rsidRPr="00650987">
              <w:rPr>
                <w:rFonts w:asciiTheme="majorHAnsi" w:hAnsiTheme="majorHAnsi"/>
                <w:b/>
                <w:i/>
                <w:iCs/>
                <w:highlight w:val="yellow"/>
              </w:rPr>
              <w:t>date</w:t>
            </w:r>
            <w:r>
              <w:rPr>
                <w:rFonts w:asciiTheme="majorHAnsi" w:hAnsiTheme="majorHAnsi"/>
                <w:i/>
                <w:iCs/>
              </w:rPr>
              <w:t>)</w:t>
            </w:r>
            <w:r w:rsidRPr="00643F2D">
              <w:rPr>
                <w:rFonts w:asciiTheme="majorHAnsi" w:hAnsiTheme="majorHAnsi"/>
              </w:rPr>
              <w:t xml:space="preserve"> qui vous a été adressée par lettre recommandée en date du </w:t>
            </w:r>
            <w:r>
              <w:rPr>
                <w:rFonts w:asciiTheme="majorHAnsi" w:hAnsiTheme="majorHAnsi"/>
              </w:rPr>
              <w:t>(</w:t>
            </w:r>
            <w:r w:rsidRPr="00650987">
              <w:rPr>
                <w:rFonts w:asciiTheme="majorHAnsi" w:hAnsiTheme="majorHAnsi"/>
                <w:b/>
                <w:iCs/>
                <w:highlight w:val="yellow"/>
              </w:rPr>
              <w:t>Date de l’accusé réception)</w:t>
            </w:r>
            <w:r w:rsidRPr="00650987">
              <w:rPr>
                <w:rFonts w:asciiTheme="majorHAnsi" w:hAnsiTheme="majorHAnsi"/>
                <w:i/>
                <w:iCs/>
                <w:highlight w:val="yellow"/>
              </w:rPr>
              <w:t xml:space="preserve"> </w:t>
            </w:r>
            <w:r w:rsidRPr="00650987">
              <w:rPr>
                <w:rFonts w:asciiTheme="majorHAnsi" w:hAnsiTheme="majorHAnsi"/>
                <w:b/>
                <w:iCs/>
                <w:highlight w:val="yellow"/>
              </w:rPr>
              <w:t>(Joindre l'accusé de réception de la poste</w:t>
            </w:r>
            <w:r>
              <w:rPr>
                <w:rFonts w:asciiTheme="majorHAnsi" w:hAnsiTheme="majorHAnsi"/>
                <w:i/>
                <w:iCs/>
              </w:rPr>
              <w:t>)</w:t>
            </w:r>
            <w:r w:rsidRPr="00643F2D">
              <w:rPr>
                <w:rFonts w:asciiTheme="majorHAnsi" w:hAnsiTheme="majorHAnsi"/>
              </w:rPr>
              <w:t xml:space="preserve">, </w:t>
            </w:r>
            <w:r>
              <w:rPr>
                <w:rFonts w:asciiTheme="majorHAnsi" w:hAnsiTheme="majorHAnsi"/>
              </w:rPr>
              <w:t xml:space="preserve">j’ai formé un recours contre </w:t>
            </w:r>
            <w:r w:rsidRPr="00F35FAC">
              <w:rPr>
                <w:rFonts w:asciiTheme="majorHAnsi" w:hAnsiTheme="majorHAnsi"/>
                <w:highlight w:val="yellow"/>
              </w:rPr>
              <w:t>XXX (préciser la décision attaquée)</w:t>
            </w:r>
          </w:p>
          <w:p w:rsidR="00463867" w:rsidRDefault="00463867" w:rsidP="002137F4">
            <w:pPr>
              <w:jc w:val="both"/>
              <w:rPr>
                <w:rFonts w:asciiTheme="majorHAnsi" w:hAnsiTheme="majorHAnsi"/>
              </w:rPr>
            </w:pPr>
          </w:p>
          <w:p w:rsidR="00463867" w:rsidRDefault="00463867" w:rsidP="002137F4">
            <w:pPr>
              <w:rPr>
                <w:rFonts w:asciiTheme="majorHAnsi" w:hAnsiTheme="majorHAnsi"/>
              </w:rPr>
            </w:pPr>
            <w:r w:rsidRPr="00650987">
              <w:rPr>
                <w:rFonts w:asciiTheme="majorHAnsi" w:hAnsiTheme="majorHAnsi"/>
                <w:b/>
                <w:i/>
                <w:iCs/>
                <w:highlight w:val="yellow"/>
              </w:rPr>
              <w:t>Rappelez l'objet de la demande initiale</w:t>
            </w:r>
            <w:r w:rsidRPr="00643F2D">
              <w:rPr>
                <w:rFonts w:asciiTheme="majorHAnsi" w:hAnsiTheme="majorHAnsi"/>
              </w:rPr>
              <w:br/>
            </w:r>
          </w:p>
          <w:p w:rsidR="00463867" w:rsidRPr="007D7873" w:rsidRDefault="00463867" w:rsidP="002137F4">
            <w:pPr>
              <w:jc w:val="both"/>
              <w:rPr>
                <w:rFonts w:asciiTheme="majorHAnsi" w:hAnsiTheme="majorHAnsi"/>
              </w:rPr>
            </w:pPr>
            <w:r>
              <w:rPr>
                <w:rFonts w:asciiTheme="majorHAnsi" w:hAnsiTheme="majorHAnsi"/>
              </w:rPr>
              <w:t xml:space="preserve">Or, </w:t>
            </w:r>
            <w:r w:rsidRPr="001615B4">
              <w:rPr>
                <w:rFonts w:asciiTheme="majorHAnsi" w:hAnsiTheme="majorHAnsi"/>
              </w:rPr>
              <w:t>l’article L 211-2 du code des relations entre le public et l’administration</w:t>
            </w:r>
            <w:r w:rsidRPr="007D7873">
              <w:rPr>
                <w:rFonts w:asciiTheme="majorHAnsi" w:hAnsiTheme="majorHAnsi"/>
              </w:rPr>
              <w:t>, relati</w:t>
            </w:r>
            <w:r>
              <w:rPr>
                <w:rFonts w:asciiTheme="majorHAnsi" w:hAnsiTheme="majorHAnsi"/>
              </w:rPr>
              <w:t>f à</w:t>
            </w:r>
            <w:r w:rsidRPr="007D7873">
              <w:rPr>
                <w:rFonts w:asciiTheme="majorHAnsi" w:hAnsiTheme="majorHAnsi"/>
              </w:rPr>
              <w:t xml:space="preserve"> la motivation des actes administratifs et à l'amélioration des relations entre l'administration et le public dispose que les personnes physiques ou morales ont le droit d'être informées sans délai des décisions administratives défavorables qui les concernent. A cet effet doivent être motivées les décisions qui :</w:t>
            </w:r>
          </w:p>
          <w:p w:rsidR="00463867" w:rsidRPr="007D7873" w:rsidRDefault="00463867" w:rsidP="002137F4">
            <w:pPr>
              <w:jc w:val="both"/>
              <w:rPr>
                <w:rFonts w:asciiTheme="majorHAnsi" w:hAnsiTheme="majorHAnsi"/>
              </w:rPr>
            </w:pPr>
            <w:r w:rsidRPr="007D7873">
              <w:rPr>
                <w:rFonts w:asciiTheme="majorHAnsi" w:hAnsiTheme="majorHAnsi"/>
              </w:rPr>
              <w:t>-  restreignent l'exercice des libertés publiques ou, de manière générale, constituent une mesure de police ;</w:t>
            </w:r>
          </w:p>
          <w:p w:rsidR="00463867" w:rsidRPr="007D7873" w:rsidRDefault="00463867" w:rsidP="002137F4">
            <w:pPr>
              <w:jc w:val="both"/>
              <w:rPr>
                <w:rFonts w:asciiTheme="majorHAnsi" w:hAnsiTheme="majorHAnsi"/>
              </w:rPr>
            </w:pPr>
            <w:r w:rsidRPr="007D7873">
              <w:rPr>
                <w:rFonts w:asciiTheme="majorHAnsi" w:hAnsiTheme="majorHAnsi"/>
              </w:rPr>
              <w:t>-  infligent une sanction ;</w:t>
            </w:r>
          </w:p>
          <w:p w:rsidR="00463867" w:rsidRPr="007D7873" w:rsidRDefault="00463867" w:rsidP="002137F4">
            <w:pPr>
              <w:jc w:val="both"/>
              <w:rPr>
                <w:rFonts w:asciiTheme="majorHAnsi" w:hAnsiTheme="majorHAnsi"/>
              </w:rPr>
            </w:pPr>
            <w:r w:rsidRPr="007D7873">
              <w:rPr>
                <w:rFonts w:asciiTheme="majorHAnsi" w:hAnsiTheme="majorHAnsi"/>
              </w:rPr>
              <w:t>-  subordonnent l'octroi d'une autorisation à des conditions restrictives ou imposent des sujétions ;</w:t>
            </w:r>
          </w:p>
          <w:p w:rsidR="00463867" w:rsidRPr="007D7873" w:rsidRDefault="00463867" w:rsidP="002137F4">
            <w:pPr>
              <w:jc w:val="both"/>
              <w:rPr>
                <w:rFonts w:asciiTheme="majorHAnsi" w:hAnsiTheme="majorHAnsi"/>
              </w:rPr>
            </w:pPr>
            <w:r w:rsidRPr="007D7873">
              <w:rPr>
                <w:rFonts w:asciiTheme="majorHAnsi" w:hAnsiTheme="majorHAnsi"/>
              </w:rPr>
              <w:t>-  retirent ou abrogent une décision créatrice de droit ;</w:t>
            </w:r>
          </w:p>
          <w:p w:rsidR="00463867" w:rsidRPr="007D7873" w:rsidRDefault="00463867" w:rsidP="002137F4">
            <w:pPr>
              <w:jc w:val="both"/>
              <w:rPr>
                <w:rFonts w:asciiTheme="majorHAnsi" w:hAnsiTheme="majorHAnsi"/>
              </w:rPr>
            </w:pPr>
            <w:r w:rsidRPr="007D7873">
              <w:rPr>
                <w:rFonts w:asciiTheme="majorHAnsi" w:hAnsiTheme="majorHAnsi"/>
              </w:rPr>
              <w:t>-  opposent une prescription, une forclusion ou une déchéance ;</w:t>
            </w:r>
          </w:p>
          <w:p w:rsidR="00463867" w:rsidRPr="007D7873" w:rsidRDefault="00463867" w:rsidP="002137F4">
            <w:pPr>
              <w:jc w:val="both"/>
              <w:rPr>
                <w:rFonts w:asciiTheme="majorHAnsi" w:hAnsiTheme="majorHAnsi"/>
              </w:rPr>
            </w:pPr>
            <w:r w:rsidRPr="007D7873">
              <w:rPr>
                <w:rFonts w:asciiTheme="majorHAnsi" w:hAnsiTheme="majorHAnsi"/>
              </w:rPr>
              <w:t>-  refusent un avantage dont l'attribution constitue un droit pour les personnes qui remplissent les conditions légales pour l'obtenir ;</w:t>
            </w:r>
          </w:p>
          <w:p w:rsidR="00463867" w:rsidRPr="007D7873" w:rsidRDefault="00463867" w:rsidP="002137F4">
            <w:pPr>
              <w:jc w:val="both"/>
              <w:rPr>
                <w:rFonts w:asciiTheme="majorHAnsi" w:hAnsiTheme="majorHAnsi"/>
              </w:rPr>
            </w:pPr>
            <w:r w:rsidRPr="007D7873">
              <w:rPr>
                <w:rFonts w:asciiTheme="majorHAnsi" w:hAnsiTheme="majorHAnsi"/>
              </w:rPr>
              <w:t>-  refusent une autorisation sauf lorsque la communication des motifs pourrait être de nature à porter atteinte à l'un des secrets ou intérêts protégés par les dispositions de la loi 78-583 du 17 juillet 1978, article 6, alinéas 2 à 5.</w:t>
            </w:r>
          </w:p>
          <w:p w:rsidR="00463867" w:rsidRPr="007D7873" w:rsidRDefault="00463867" w:rsidP="002137F4">
            <w:pPr>
              <w:rPr>
                <w:rFonts w:asciiTheme="majorHAnsi" w:hAnsiTheme="majorHAnsi"/>
              </w:rPr>
            </w:pPr>
          </w:p>
          <w:p w:rsidR="00463867" w:rsidRDefault="00463867" w:rsidP="002137F4">
            <w:pPr>
              <w:jc w:val="both"/>
              <w:rPr>
                <w:rFonts w:asciiTheme="majorHAnsi" w:hAnsiTheme="majorHAnsi"/>
              </w:rPr>
            </w:pPr>
            <w:r>
              <w:rPr>
                <w:rFonts w:asciiTheme="majorHAnsi" w:hAnsiTheme="majorHAnsi"/>
              </w:rPr>
              <w:t>D</w:t>
            </w:r>
            <w:r w:rsidRPr="007D7873">
              <w:rPr>
                <w:rFonts w:asciiTheme="majorHAnsi" w:hAnsiTheme="majorHAnsi"/>
              </w:rPr>
              <w:t>oivent également être motivées les décisions individuelles qui dérogent aux règles générales fixées par la loi ou le règlement.</w:t>
            </w:r>
          </w:p>
          <w:p w:rsidR="00463867" w:rsidRPr="007D7873" w:rsidRDefault="00463867" w:rsidP="002137F4">
            <w:pPr>
              <w:jc w:val="both"/>
              <w:rPr>
                <w:rFonts w:asciiTheme="majorHAnsi" w:hAnsiTheme="majorHAnsi"/>
              </w:rPr>
            </w:pPr>
          </w:p>
          <w:p w:rsidR="00463867" w:rsidRDefault="00463867" w:rsidP="002137F4">
            <w:pPr>
              <w:jc w:val="both"/>
              <w:rPr>
                <w:rFonts w:asciiTheme="majorHAnsi" w:hAnsiTheme="majorHAnsi"/>
              </w:rPr>
            </w:pPr>
            <w:r w:rsidRPr="00650987">
              <w:rPr>
                <w:rFonts w:asciiTheme="majorHAnsi" w:hAnsiTheme="majorHAnsi"/>
                <w:b/>
                <w:bCs/>
              </w:rPr>
              <w:lastRenderedPageBreak/>
              <w:t>L’article L 232-4 du même code prévoit qu'à la demande de l'intéressé, formulée dans les délais du recours contentieux, les motifs de toute décision implicite de rejet devront lui être communiqués dans le mois suivant cette demande</w:t>
            </w:r>
            <w:r w:rsidRPr="007D7873">
              <w:rPr>
                <w:rFonts w:asciiTheme="majorHAnsi" w:hAnsiTheme="majorHAnsi"/>
              </w:rPr>
              <w:t xml:space="preserve">. </w:t>
            </w:r>
          </w:p>
          <w:p w:rsidR="00463867" w:rsidRDefault="00463867" w:rsidP="002137F4">
            <w:pPr>
              <w:rPr>
                <w:rFonts w:asciiTheme="majorHAnsi" w:hAnsiTheme="majorHAnsi"/>
              </w:rPr>
            </w:pPr>
          </w:p>
          <w:p w:rsidR="00463867" w:rsidRDefault="00463867" w:rsidP="002137F4">
            <w:pPr>
              <w:jc w:val="both"/>
              <w:rPr>
                <w:rFonts w:asciiTheme="majorHAnsi" w:hAnsiTheme="majorHAnsi"/>
              </w:rPr>
            </w:pPr>
            <w:r>
              <w:rPr>
                <w:rFonts w:asciiTheme="majorHAnsi" w:hAnsiTheme="majorHAnsi"/>
              </w:rPr>
              <w:t xml:space="preserve">En l’espèce, </w:t>
            </w:r>
            <w:proofErr w:type="gramStart"/>
            <w:r>
              <w:rPr>
                <w:rFonts w:asciiTheme="majorHAnsi" w:hAnsiTheme="majorHAnsi"/>
              </w:rPr>
              <w:t>suite à</w:t>
            </w:r>
            <w:proofErr w:type="gramEnd"/>
            <w:r>
              <w:rPr>
                <w:rFonts w:asciiTheme="majorHAnsi" w:hAnsiTheme="majorHAnsi"/>
              </w:rPr>
              <w:t xml:space="preserve"> la naissance le ……… </w:t>
            </w:r>
            <w:r w:rsidRPr="00650987">
              <w:rPr>
                <w:rFonts w:asciiTheme="majorHAnsi" w:hAnsiTheme="majorHAnsi"/>
                <w:highlight w:val="yellow"/>
              </w:rPr>
              <w:t>A COMPLETER</w:t>
            </w:r>
            <w:r>
              <w:rPr>
                <w:rFonts w:asciiTheme="majorHAnsi" w:hAnsiTheme="majorHAnsi"/>
              </w:rPr>
              <w:t xml:space="preserve"> d’u</w:t>
            </w:r>
            <w:r w:rsidRPr="00643F2D">
              <w:rPr>
                <w:rFonts w:asciiTheme="majorHAnsi" w:hAnsiTheme="majorHAnsi"/>
              </w:rPr>
              <w:t>ne décision implicite de rejet résultant du silence de plu</w:t>
            </w:r>
            <w:r>
              <w:rPr>
                <w:rFonts w:asciiTheme="majorHAnsi" w:hAnsiTheme="majorHAnsi"/>
              </w:rPr>
              <w:t>s de quatre</w:t>
            </w:r>
            <w:r w:rsidRPr="00643F2D">
              <w:rPr>
                <w:rFonts w:asciiTheme="majorHAnsi" w:hAnsiTheme="majorHAnsi"/>
              </w:rPr>
              <w:t xml:space="preserve"> mois </w:t>
            </w:r>
            <w:r>
              <w:rPr>
                <w:rFonts w:asciiTheme="majorHAnsi" w:hAnsiTheme="majorHAnsi"/>
              </w:rPr>
              <w:t xml:space="preserve">de l’autorité décisionnaire </w:t>
            </w:r>
            <w:proofErr w:type="gramStart"/>
            <w:r>
              <w:rPr>
                <w:rFonts w:asciiTheme="majorHAnsi" w:hAnsiTheme="majorHAnsi"/>
              </w:rPr>
              <w:t>suite au</w:t>
            </w:r>
            <w:proofErr w:type="gramEnd"/>
            <w:r>
              <w:rPr>
                <w:rFonts w:asciiTheme="majorHAnsi" w:hAnsiTheme="majorHAnsi"/>
              </w:rPr>
              <w:t xml:space="preserve"> recours formé devant votre commission</w:t>
            </w:r>
            <w:r w:rsidRPr="00643F2D">
              <w:rPr>
                <w:rFonts w:asciiTheme="majorHAnsi" w:hAnsiTheme="majorHAnsi"/>
              </w:rPr>
              <w:t xml:space="preserve">, je vous serais obligé de bien vouloir me faire connaître, par application des dispositions </w:t>
            </w:r>
            <w:r>
              <w:rPr>
                <w:rFonts w:asciiTheme="majorHAnsi" w:hAnsiTheme="majorHAnsi"/>
              </w:rPr>
              <w:t>précitées</w:t>
            </w:r>
            <w:r w:rsidRPr="00643F2D">
              <w:rPr>
                <w:rFonts w:asciiTheme="majorHAnsi" w:hAnsiTheme="majorHAnsi"/>
              </w:rPr>
              <w:t>, l'énoncé des considérations de fait</w:t>
            </w:r>
            <w:r>
              <w:rPr>
                <w:rFonts w:asciiTheme="majorHAnsi" w:hAnsiTheme="majorHAnsi"/>
              </w:rPr>
              <w:t>s</w:t>
            </w:r>
            <w:r w:rsidRPr="00643F2D">
              <w:rPr>
                <w:rFonts w:asciiTheme="majorHAnsi" w:hAnsiTheme="majorHAnsi"/>
              </w:rPr>
              <w:t xml:space="preserve"> et de droit sur lesquelles </w:t>
            </w:r>
            <w:r>
              <w:rPr>
                <w:rFonts w:asciiTheme="majorHAnsi" w:hAnsiTheme="majorHAnsi"/>
              </w:rPr>
              <w:t xml:space="preserve">est fondé </w:t>
            </w:r>
            <w:r w:rsidRPr="00643F2D">
              <w:rPr>
                <w:rFonts w:asciiTheme="majorHAnsi" w:hAnsiTheme="majorHAnsi"/>
              </w:rPr>
              <w:t>ce rejet implicite.</w:t>
            </w:r>
          </w:p>
          <w:p w:rsidR="00463867" w:rsidRDefault="00463867" w:rsidP="002137F4">
            <w:pPr>
              <w:jc w:val="both"/>
              <w:rPr>
                <w:rFonts w:asciiTheme="majorHAnsi" w:hAnsiTheme="majorHAnsi"/>
              </w:rPr>
            </w:pPr>
          </w:p>
          <w:p w:rsidR="00463867" w:rsidRPr="0041301F" w:rsidRDefault="00463867" w:rsidP="002137F4">
            <w:pPr>
              <w:jc w:val="both"/>
              <w:rPr>
                <w:rFonts w:asciiTheme="majorHAnsi" w:hAnsiTheme="majorHAnsi"/>
              </w:rPr>
            </w:pPr>
            <w:r>
              <w:rPr>
                <w:rFonts w:asciiTheme="majorHAnsi" w:hAnsiTheme="majorHAnsi"/>
              </w:rPr>
              <w:t>Respectueusement</w:t>
            </w:r>
            <w:r w:rsidRPr="0041301F">
              <w:rPr>
                <w:rFonts w:asciiTheme="majorHAnsi" w:hAnsiTheme="majorHAnsi"/>
              </w:rPr>
              <w:t>.</w:t>
            </w:r>
            <w:r w:rsidRPr="0041301F">
              <w:rPr>
                <w:rFonts w:asciiTheme="majorHAnsi" w:hAnsiTheme="majorHAnsi"/>
              </w:rPr>
              <w:br/>
            </w:r>
          </w:p>
          <w:p w:rsidR="00463867" w:rsidRPr="00643F2D" w:rsidRDefault="00463867" w:rsidP="002137F4">
            <w:pPr>
              <w:jc w:val="both"/>
              <w:rPr>
                <w:rFonts w:asciiTheme="majorHAnsi" w:hAnsiTheme="majorHAnsi"/>
              </w:rPr>
            </w:pPr>
          </w:p>
        </w:tc>
      </w:tr>
      <w:tr w:rsidR="00463867" w:rsidRPr="00643F2D" w:rsidTr="002137F4">
        <w:trPr>
          <w:tblCellSpacing w:w="50" w:type="dxa"/>
        </w:trPr>
        <w:tc>
          <w:tcPr>
            <w:tcW w:w="0" w:type="auto"/>
            <w:vAlign w:val="center"/>
          </w:tcPr>
          <w:p w:rsidR="00463867" w:rsidRPr="00643F2D" w:rsidRDefault="00463867" w:rsidP="002137F4">
            <w:pPr>
              <w:jc w:val="both"/>
              <w:rPr>
                <w:rFonts w:asciiTheme="majorHAnsi" w:hAnsiTheme="majorHAnsi"/>
              </w:rPr>
            </w:pPr>
          </w:p>
        </w:tc>
      </w:tr>
      <w:tr w:rsidR="00463867" w:rsidRPr="00643F2D" w:rsidTr="002137F4">
        <w:trPr>
          <w:tblCellSpacing w:w="50" w:type="dxa"/>
        </w:trPr>
        <w:tc>
          <w:tcPr>
            <w:tcW w:w="0" w:type="auto"/>
            <w:vAlign w:val="center"/>
          </w:tcPr>
          <w:p w:rsidR="00463867" w:rsidRPr="00643F2D" w:rsidRDefault="00463867" w:rsidP="00463867">
            <w:pPr>
              <w:jc w:val="right"/>
              <w:rPr>
                <w:rFonts w:asciiTheme="majorHAnsi" w:hAnsiTheme="majorHAnsi"/>
              </w:rPr>
            </w:pPr>
            <w:bookmarkStart w:id="0" w:name="_GoBack"/>
            <w:bookmarkEnd w:id="0"/>
            <w:r>
              <w:rPr>
                <w:rFonts w:asciiTheme="majorHAnsi" w:hAnsiTheme="majorHAnsi"/>
              </w:rPr>
              <w:t xml:space="preserve">Signature </w:t>
            </w:r>
          </w:p>
        </w:tc>
      </w:tr>
    </w:tbl>
    <w:p w:rsidR="00E77BB7" w:rsidRDefault="00E77BB7"/>
    <w:sectPr w:rsidR="00E77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67"/>
    <w:rsid w:val="00463867"/>
    <w:rsid w:val="00E77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89D6"/>
  <w15:chartTrackingRefBased/>
  <w15:docId w15:val="{36793AEC-19A7-4540-80AA-1ADAFCD4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67"/>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localhost/http://abonnes.efl.fr/EFLPORTAL/data/img/pixelblanc.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Maumont</dc:creator>
  <cp:keywords/>
  <dc:description/>
  <cp:lastModifiedBy>Elodie Maumont</cp:lastModifiedBy>
  <cp:revision>1</cp:revision>
  <dcterms:created xsi:type="dcterms:W3CDTF">2020-10-13T08:49:00Z</dcterms:created>
  <dcterms:modified xsi:type="dcterms:W3CDTF">2020-10-13T08:50:00Z</dcterms:modified>
</cp:coreProperties>
</file>